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int="eastAsia" w:ascii="宋体" w:hAnsi="宋体" w:eastAsia="宋体" w:cs="宋体"/>
          <w:b/>
          <w:bCs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56"/>
          <w:szCs w:val="56"/>
        </w:rPr>
      </w:pPr>
      <w:r>
        <w:rPr>
          <w:rFonts w:hint="eastAsia" w:ascii="宋体" w:hAnsi="宋体" w:eastAsia="宋体" w:cs="宋体"/>
          <w:b/>
          <w:bCs/>
          <w:color w:val="auto"/>
          <w:sz w:val="56"/>
          <w:szCs w:val="56"/>
        </w:rPr>
        <w:t>广东华昌</w:t>
      </w:r>
      <w:r>
        <w:rPr>
          <w:rFonts w:hint="eastAsia" w:ascii="宋体" w:hAnsi="宋体" w:eastAsia="宋体" w:cs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int="eastAsia" w:ascii="宋体" w:hAnsi="宋体" w:eastAsia="宋体" w:cs="宋体"/>
          <w:color w:val="auto"/>
          <w:sz w:val="36"/>
          <w:szCs w:val="36"/>
        </w:rPr>
      </w:pPr>
    </w:p>
    <w:p>
      <w:pPr>
        <w:pStyle w:val="9"/>
        <w:spacing w:line="520" w:lineRule="exact"/>
        <w:ind w:firstLine="2731" w:firstLineChars="85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招标编号：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HCCGZB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22051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76"/>
          <w:szCs w:val="76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76"/>
          <w:szCs w:val="76"/>
          <w:u w:val="single"/>
          <w:lang w:val="en-US" w:eastAsia="zh-CN"/>
        </w:rPr>
        <w:t>模具钢锻件</w:t>
      </w:r>
    </w:p>
    <w:p>
      <w:pPr>
        <w:spacing w:line="920" w:lineRule="exact"/>
        <w:jc w:val="center"/>
        <w:rPr>
          <w:rFonts w:hint="eastAsia" w:ascii="宋体" w:hAnsi="宋体" w:eastAsia="宋体" w:cs="宋体"/>
          <w:color w:val="auto"/>
          <w:sz w:val="76"/>
          <w:szCs w:val="76"/>
        </w:rPr>
      </w:pPr>
      <w:r>
        <w:rPr>
          <w:rFonts w:hint="eastAsia" w:ascii="宋体" w:hAnsi="宋体" w:eastAsia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400" w:lineRule="exact"/>
        <w:rPr>
          <w:rFonts w:hint="eastAsia" w:ascii="宋体" w:hAnsi="宋体" w:eastAsia="宋体" w:cs="宋体"/>
          <w:color w:val="auto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 xml:space="preserve"> 招 标 人：广东华昌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hint="eastAsia" w:ascii="宋体" w:hAnsi="宋体" w:eastAsia="宋体" w:cs="宋体"/>
          <w:color w:val="auto"/>
        </w:rPr>
      </w:pPr>
    </w:p>
    <w:p>
      <w:pPr>
        <w:pStyle w:val="2"/>
        <w:ind w:firstLine="2641" w:firstLineChars="598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目    录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投标标的（附物资需求明细表）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第四章  质量要求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single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singl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本规定时间内，竞标单位未能送达标书，视为自动弃标。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潘惠华13927750023、李明明13580455827、雷雨芳13825574588、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22051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模具钢锻件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雷雨芳13825574588、李明明13580455827、潘惠华13927750023。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模具钢锻件的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（2）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④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⑤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fldChar w:fldCharType="end"/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3）</w:t>
      </w:r>
      <w:r>
        <w:rPr>
          <w:rFonts w:hint="eastAsia"/>
          <w:color w:val="000000" w:themeColor="text1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）投标费用：投标商自行支付准备和递交投标书过程中所发生的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模具钢锻件</w:t>
      </w:r>
    </w:p>
    <w:tbl>
      <w:tblPr>
        <w:tblStyle w:val="7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720"/>
        <w:gridCol w:w="235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44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产品名称</w:t>
            </w:r>
          </w:p>
        </w:tc>
        <w:tc>
          <w:tcPr>
            <w:tcW w:w="272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 w:eastAsia="zh-CN"/>
              </w:rPr>
              <w:t>材质</w:t>
            </w:r>
          </w:p>
        </w:tc>
        <w:tc>
          <w:tcPr>
            <w:tcW w:w="235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 xml:space="preserve">货到7天内付款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元/KG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）</w:t>
            </w:r>
          </w:p>
        </w:tc>
        <w:tc>
          <w:tcPr>
            <w:tcW w:w="1806" w:type="dxa"/>
            <w:vAlign w:val="center"/>
          </w:tcPr>
          <w:p>
            <w:pPr>
              <w:pStyle w:val="13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月结45天银承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>元/KG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lang w:val="zh-TW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44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模具钢</w:t>
            </w:r>
          </w:p>
        </w:tc>
        <w:tc>
          <w:tcPr>
            <w:tcW w:w="272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4Cr5MoSiV1</w:t>
            </w:r>
            <w:r>
              <w:rPr>
                <w:rFonts w:hint="eastAsia" w:ascii="宋体" w:hAnsi="宋体" w:eastAsia="宋体" w:cs="宋体"/>
                <w:b/>
                <w:color w:val="auto"/>
                <w:lang w:val="en-US" w:eastAsia="zh-CN"/>
              </w:rPr>
              <w:t xml:space="preserve">  H13</w:t>
            </w:r>
          </w:p>
        </w:tc>
        <w:tc>
          <w:tcPr>
            <w:tcW w:w="235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44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模具钢</w:t>
            </w:r>
          </w:p>
        </w:tc>
        <w:tc>
          <w:tcPr>
            <w:tcW w:w="272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  <w:t>RS344  （亚铝标准）</w:t>
            </w:r>
          </w:p>
        </w:tc>
        <w:tc>
          <w:tcPr>
            <w:tcW w:w="235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4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锻件</w:t>
            </w:r>
          </w:p>
        </w:tc>
        <w:tc>
          <w:tcPr>
            <w:tcW w:w="272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4Cr5MoSiV1</w:t>
            </w:r>
            <w:r>
              <w:rPr>
                <w:rFonts w:hint="eastAsia" w:ascii="宋体" w:hAnsi="宋体" w:eastAsia="宋体" w:cs="宋体"/>
                <w:b/>
                <w:color w:val="auto"/>
                <w:lang w:val="en-US" w:eastAsia="zh-CN"/>
              </w:rPr>
              <w:t xml:space="preserve">  H13</w:t>
            </w:r>
          </w:p>
        </w:tc>
        <w:tc>
          <w:tcPr>
            <w:tcW w:w="235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4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</w:rPr>
              <w:t>锻件</w:t>
            </w:r>
          </w:p>
        </w:tc>
        <w:tc>
          <w:tcPr>
            <w:tcW w:w="272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5CrMnMO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350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1806" w:type="dxa"/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质量要求与技术参数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原材料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锻件所选用的钢材应符合《GB/T 1299-2014合金工具钢》标准的要求，其中4Cr5MoSiV1我司要求如下表所示：</w:t>
      </w:r>
    </w:p>
    <w:p>
      <w:pPr>
        <w:spacing w:line="360" w:lineRule="auto"/>
        <w:ind w:firstLine="540" w:firstLineChars="192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表1  4Cr5MoSiV1的化学成分（%，m/m）</w:t>
      </w:r>
    </w:p>
    <w:tbl>
      <w:tblPr>
        <w:tblStyle w:val="7"/>
        <w:tblpPr w:leftFromText="180" w:rightFromText="180" w:vertAnchor="text" w:horzAnchor="page" w:tblpX="1710" w:tblpY="334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06"/>
        <w:gridCol w:w="804"/>
        <w:gridCol w:w="1017"/>
        <w:gridCol w:w="650"/>
        <w:gridCol w:w="649"/>
        <w:gridCol w:w="996"/>
        <w:gridCol w:w="804"/>
        <w:gridCol w:w="805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牌号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C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Si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Mn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P</w:t>
            </w:r>
          </w:p>
        </w:tc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S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Cr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Mo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V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不大于</w:t>
            </w:r>
          </w:p>
        </w:tc>
        <w:tc>
          <w:tcPr>
            <w:tcW w:w="9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4Cr5MoSiV1</w:t>
            </w:r>
          </w:p>
        </w:tc>
        <w:tc>
          <w:tcPr>
            <w:tcW w:w="8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0.35~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0.45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0.80~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1.20</w:t>
            </w: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0.20~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0.50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0.030</w:t>
            </w:r>
          </w:p>
        </w:tc>
        <w:tc>
          <w:tcPr>
            <w:tcW w:w="6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0.030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4.75~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5.50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1.10~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1.75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0.80~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1.20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表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RS344</w:t>
      </w:r>
      <w:r>
        <w:rPr>
          <w:rFonts w:hint="eastAsia" w:ascii="宋体" w:hAnsi="宋体" w:eastAsia="宋体" w:cs="宋体"/>
          <w:b/>
          <w:sz w:val="28"/>
          <w:szCs w:val="28"/>
        </w:rPr>
        <w:t>的化学成分（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Wt </w:t>
      </w:r>
      <w:r>
        <w:rPr>
          <w:rFonts w:hint="eastAsia" w:ascii="宋体" w:hAnsi="宋体" w:eastAsia="宋体" w:cs="宋体"/>
          <w:b/>
          <w:sz w:val="28"/>
          <w:szCs w:val="28"/>
        </w:rPr>
        <w:t>%）</w:t>
      </w:r>
    </w:p>
    <w:tbl>
      <w:tblPr>
        <w:tblStyle w:val="7"/>
        <w:tblpPr w:leftFromText="180" w:rightFromText="180" w:vertAnchor="text" w:horzAnchor="page" w:tblpX="1920" w:tblpY="202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13"/>
        <w:gridCol w:w="825"/>
        <w:gridCol w:w="950"/>
        <w:gridCol w:w="842"/>
        <w:gridCol w:w="745"/>
        <w:gridCol w:w="900"/>
        <w:gridCol w:w="804"/>
        <w:gridCol w:w="805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牌号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Si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Mn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P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S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Cr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Mo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V</w:t>
            </w:r>
          </w:p>
        </w:tc>
        <w:tc>
          <w:tcPr>
            <w:tcW w:w="7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≦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RS344</w:t>
            </w:r>
          </w:p>
        </w:tc>
        <w:tc>
          <w:tcPr>
            <w:tcW w:w="8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0.35~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0.4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0.45</w:t>
            </w: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0.025</w:t>
            </w:r>
          </w:p>
        </w:tc>
        <w:tc>
          <w:tcPr>
            <w:tcW w:w="7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0.015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4.90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5.10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1.25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1.30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5~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7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脱碳层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表面脱碳层按照《GB/T 224-2018 钢的脱碳层深度测定法》标准进行检测，深度应≤1mm。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表面缺陷深度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表面缺陷深度是指锻件表面的凹陷、麻点、碰伤、折叠和裂纹等的实际深度，其公差规定如下：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加工表面:若锻件实际尺寸等于基本尺寸时，其深度公差为单边加工余量之半;若实际尺寸大于或小于基本尺寸时，其深度公差为单边加工余量之半加或减单边实际偏差值。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非加工表面:其深度公差为厚度尺寸公差的 1/3。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但锻件非加工表面存在折叠、裂纹时，应打磨清除。清除的表面必须圆滑过渡，打磨宽度不小于深度的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倍，长度应在两端超出缺陷长度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3mm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以上。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加工余量、尺寸公差及形位公差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锻件加工余量、尺寸公差、形位公差及其他公差应符合GB/T12362的规定，具体如下：</w:t>
      </w:r>
    </w:p>
    <w:p>
      <w:pPr>
        <w:spacing w:line="360" w:lineRule="auto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 xml:space="preserve">                 表2 加工余量验收标准（单位：mm）</w:t>
      </w:r>
    </w:p>
    <w:p>
      <w:pPr>
        <w:spacing w:line="360" w:lineRule="auto"/>
        <w:ind w:firstLine="540" w:firstLineChars="192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</w:p>
    <w:tbl>
      <w:tblPr>
        <w:tblStyle w:val="7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4"/>
        <w:gridCol w:w="1403"/>
        <w:gridCol w:w="1403"/>
        <w:gridCol w:w="1404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0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尺寸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厚度方向</w:t>
            </w:r>
          </w:p>
        </w:tc>
        <w:tc>
          <w:tcPr>
            <w:tcW w:w="42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水平方向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0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0~315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315~400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400~700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锻件重量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/Kg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50~120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2.5~3.2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2.5~3.2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2.5~3.5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120~250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3.0~4.0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2.5~3.5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2.7~3.5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＞250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3.5~4.5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2.7~3.5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3.0~4.0</w:t>
            </w:r>
          </w:p>
        </w:tc>
        <w:tc>
          <w:tcPr>
            <w:tcW w:w="14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3.0~4.0</w:t>
            </w:r>
          </w:p>
        </w:tc>
      </w:tr>
    </w:tbl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540" w:firstLineChars="192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表3 尺寸公差验收标准（单位：mm）</w:t>
      </w:r>
    </w:p>
    <w:tbl>
      <w:tblPr>
        <w:tblStyle w:val="7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517"/>
        <w:gridCol w:w="1641"/>
        <w:gridCol w:w="1640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尺寸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180~315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315~500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500~800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锻件重量/Kg</w:t>
            </w: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50~120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4.5（+3.0 -1.5）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5.0（+3.3 -1.7）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5.6（+3.7 -1.9）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120~250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5.0（+3.3 -1.7）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5.6（+3.7 -1.9）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6.3（+4.2 -2.1）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0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＞250</w:t>
            </w:r>
          </w:p>
        </w:tc>
        <w:tc>
          <w:tcPr>
            <w:tcW w:w="16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5.6（+3.7 -1.9）</w:t>
            </w:r>
          </w:p>
        </w:tc>
        <w:tc>
          <w:tcPr>
            <w:tcW w:w="16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6.3（+4.2 -2.1）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7.0（+4.7 -2.3）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供货状态及硬度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锻件以球化退火状态供货，组织应为珠光体，其硬度≤230HB。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冶金缺陷的低倍检测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若低倍试样上有白点、白斑、裂纹或明显夹杂物，该批号的全部锻件不予验收。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锻件表面清理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4Cr5MoSiV1模具钢锻件入厂后还需进行较多的机械加工，因此，交货锻件表面氧化皮应清理干净，表面清理方式有抛丸、喷砂、滚筒清理等。若供方不能清理的，由双方协商解决。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显微组织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4Cr5MoSiV1模具钢锻件的金相分析，主要对象为放大100倍的显微组织，若有疑问，应进行更高倍检测。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显微偏析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不能有严重的显微偏析（参照附件3）。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退火组织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退火组织需为均匀珠光体，碳化物析出均匀，不可有大块铁素体及网状铁素体（参照附件4）。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11、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择优取向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锻造比K应适当（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约为2-4）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，并应进行多次墩粗拔长过程，不得有粗大的板条状择优取向组织存在。若整个视域均为粗大的板条状择优取向组织，该锻件不予验收（参照附件5）。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过烧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锻件过烧，主要表现为晶界粗大等现象，任何类别的锻件都不允许过烧，过烧的锻件不予验收。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液析碳化物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液析碳化物应优于《GB/T 18254-2002 高碳铬轴承钢》标准中第九级别图的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级水平。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14、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裂纹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显微组织中不能有裂纹，否则该锻件不予验收。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非金属夹杂物</w:t>
      </w:r>
    </w:p>
    <w:p>
      <w:pPr>
        <w:spacing w:line="360" w:lineRule="auto"/>
        <w:ind w:firstLine="537" w:firstLineChars="192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依照《GB/T10561-2005钢中非金属夹杂物含量的测定 标准评级图显微检验法》，4Cr5MoSiV1模具钢锻件的各类非金属夹杂物应优于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2.0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级。 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pStyle w:val="12"/>
        <w:ind w:firstLine="0" w:firstLineChars="0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0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p>
      <w:pP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231" w:footer="99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t="75" alt="公司的logo（带字：华昌铝业集团l）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B"/>
    <w:multiLevelType w:val="multilevel"/>
    <w:tmpl w:val="0000000B"/>
    <w:lvl w:ilvl="0" w:tentative="0">
      <w:start w:val="1"/>
      <w:numFmt w:val="lowerLetter"/>
      <w:lvlText w:val="%1）"/>
      <w:lvlJc w:val="left"/>
      <w:pPr>
        <w:tabs>
          <w:tab w:val="left" w:pos="825"/>
        </w:tabs>
        <w:ind w:left="825" w:hanging="5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80"/>
        </w:tabs>
        <w:ind w:left="10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00"/>
        </w:tabs>
        <w:ind w:left="1500" w:hanging="42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40"/>
        </w:tabs>
        <w:ind w:left="23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60"/>
        </w:tabs>
        <w:ind w:left="27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80"/>
        </w:tabs>
        <w:ind w:left="31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00"/>
        </w:tabs>
        <w:ind w:left="36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F42745B"/>
    <w:rsid w:val="58CD6F9E"/>
    <w:rsid w:val="6B100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4"/>
    <w:qFormat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5">
    <w:name w:val="page number"/>
    <w:basedOn w:val="5"/>
    <w:qFormat/>
    <w:uiPriority w:val="0"/>
  </w:style>
  <w:style w:type="character" w:customStyle="1" w:styleId="16">
    <w:name w:val="Heading 1 Char"/>
    <w:basedOn w:val="5"/>
    <w:link w:val="2"/>
    <w:semiHidden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ModifiedBy>Administrator</cp:lastModifiedBy>
  <cp:lastPrinted>2016-05-08T22:32:00Z</cp:lastPrinted>
  <dcterms:modified xsi:type="dcterms:W3CDTF">2022-10-29T07:59:11Z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