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kern w:val="24"/>
          <w:sz w:val="24"/>
          <w:szCs w:val="24"/>
          <w:lang w:eastAsia="zh-CN"/>
        </w:rPr>
      </w:pPr>
      <w:r>
        <w:rPr>
          <w:rFonts w:hint="eastAsia"/>
          <w:b/>
          <w:kern w:val="24"/>
          <w:sz w:val="24"/>
          <w:szCs w:val="24"/>
        </w:rPr>
        <w:t>目的</w:t>
      </w:r>
      <w:r>
        <w:rPr>
          <w:rFonts w:hint="eastAsia"/>
          <w:b/>
          <w:kern w:val="24"/>
          <w:sz w:val="24"/>
          <w:szCs w:val="24"/>
          <w:lang w:eastAsia="zh-CN"/>
        </w:rPr>
        <w:t>：</w:t>
      </w:r>
    </w:p>
    <w:p>
      <w:pPr>
        <w:pStyle w:val="8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/>
          <w:kern w:val="24"/>
          <w:sz w:val="24"/>
        </w:rPr>
      </w:pPr>
      <w:r>
        <w:rPr>
          <w:rFonts w:hint="eastAsia" w:ascii="宋体" w:hAnsi="宋体"/>
          <w:kern w:val="24"/>
          <w:sz w:val="24"/>
        </w:rPr>
        <w:t>为了有效管控供应商送货质量、确保进厂物料符合生产要求和有条不紊地开展进厂物料的入库管理、特制定木方收货标准</w:t>
      </w:r>
      <w:r>
        <w:rPr>
          <w:rFonts w:hint="eastAsia" w:ascii="宋体" w:hAnsi="宋体"/>
          <w:kern w:val="24"/>
          <w:sz w:val="24"/>
          <w:lang w:val="en-US" w:eastAsia="zh-CN"/>
        </w:rPr>
        <w:t xml:space="preserve"> </w:t>
      </w:r>
      <w:r>
        <w:rPr>
          <w:rFonts w:hint="eastAsia" w:ascii="宋体" w:hAnsi="宋体"/>
          <w:kern w:val="24"/>
          <w:sz w:val="24"/>
        </w:rPr>
        <w:t>。</w:t>
      </w:r>
    </w:p>
    <w:p>
      <w:pPr>
        <w:pStyle w:val="8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kern w:val="24"/>
          <w:sz w:val="24"/>
          <w:lang w:val="en-US"/>
        </w:rPr>
      </w:pPr>
      <w:r>
        <w:rPr>
          <w:rFonts w:hint="eastAsia"/>
          <w:b/>
          <w:kern w:val="24"/>
          <w:sz w:val="24"/>
        </w:rPr>
        <w:t>二、适用范围</w:t>
      </w:r>
      <w:r>
        <w:rPr>
          <w:rFonts w:hint="eastAsia"/>
          <w:b/>
          <w:kern w:val="24"/>
          <w:sz w:val="24"/>
          <w:lang w:eastAsia="zh-CN"/>
        </w:rPr>
        <w:t>：</w:t>
      </w:r>
      <w:r>
        <w:rPr>
          <w:rFonts w:hint="eastAsia"/>
          <w:kern w:val="24"/>
          <w:sz w:val="24"/>
        </w:rPr>
        <w:t>本规程适用</w:t>
      </w:r>
      <w:r>
        <w:rPr>
          <w:rFonts w:hint="eastAsia"/>
          <w:kern w:val="24"/>
          <w:sz w:val="24"/>
          <w:lang w:eastAsia="zh-CN"/>
        </w:rPr>
        <w:t>于木方材料收货标准。</w:t>
      </w:r>
    </w:p>
    <w:p>
      <w:pPr>
        <w:pStyle w:val="8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kern w:val="24"/>
          <w:sz w:val="24"/>
          <w:lang w:eastAsia="zh-CN"/>
        </w:rPr>
      </w:pPr>
      <w:r>
        <w:rPr>
          <w:rFonts w:hint="eastAsia"/>
          <w:b/>
          <w:kern w:val="24"/>
          <w:sz w:val="24"/>
          <w:lang w:eastAsia="zh-CN"/>
        </w:rPr>
        <w:t>打箱用木方验收标准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24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24"/>
          <w:sz w:val="24"/>
          <w:szCs w:val="24"/>
          <w:u w:val="none"/>
          <w:lang w:val="en-US" w:eastAsia="zh-CN" w:bidi="ar"/>
        </w:rPr>
        <w:t>外观检测</w:t>
      </w:r>
    </w:p>
    <w:p>
      <w:pPr>
        <w:keepNext w:val="0"/>
        <w:keepLines w:val="0"/>
        <w:widowControl/>
        <w:numPr>
          <w:ilvl w:val="1"/>
          <w:numId w:val="4"/>
        </w:numPr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24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24"/>
          <w:sz w:val="24"/>
          <w:szCs w:val="24"/>
          <w:u w:val="none"/>
          <w:lang w:val="en-US" w:eastAsia="zh-CN" w:bidi="ar"/>
        </w:rPr>
        <w:t>整车观察，若发现该批木方腐烂发霉，则全车退货；</w:t>
      </w:r>
    </w:p>
    <w:p>
      <w:pPr>
        <w:keepNext w:val="0"/>
        <w:keepLines w:val="0"/>
        <w:widowControl/>
        <w:numPr>
          <w:ilvl w:val="1"/>
          <w:numId w:val="4"/>
        </w:numPr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24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24"/>
          <w:sz w:val="24"/>
          <w:szCs w:val="24"/>
          <w:u w:val="none"/>
          <w:lang w:val="en-US" w:eastAsia="zh-CN" w:bidi="ar"/>
        </w:rPr>
        <w:t>木方不允许含有边皮；</w:t>
      </w:r>
    </w:p>
    <w:p>
      <w:pPr>
        <w:keepNext w:val="0"/>
        <w:keepLines w:val="0"/>
        <w:widowControl/>
        <w:numPr>
          <w:ilvl w:val="1"/>
          <w:numId w:val="4"/>
        </w:numPr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24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24"/>
          <w:sz w:val="24"/>
          <w:szCs w:val="24"/>
          <w:u w:val="none"/>
          <w:lang w:val="en-US" w:eastAsia="zh-CN" w:bidi="ar"/>
        </w:rPr>
        <w:t>长木方单条木方结疤不超过2个，短木方至多一个；</w:t>
      </w:r>
    </w:p>
    <w:p>
      <w:pPr>
        <w:keepNext w:val="0"/>
        <w:keepLines w:val="0"/>
        <w:widowControl/>
        <w:numPr>
          <w:ilvl w:val="1"/>
          <w:numId w:val="4"/>
        </w:numPr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24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24"/>
          <w:sz w:val="24"/>
          <w:szCs w:val="24"/>
          <w:u w:val="none"/>
          <w:lang w:val="en-US" w:eastAsia="zh-CN" w:bidi="ar"/>
        </w:rPr>
        <w:t>不允许有蛀虫、空心，龟裂等缺陷；</w:t>
      </w:r>
    </w:p>
    <w:p>
      <w:pPr>
        <w:keepNext w:val="0"/>
        <w:keepLines w:val="0"/>
        <w:widowControl/>
        <w:numPr>
          <w:ilvl w:val="1"/>
          <w:numId w:val="4"/>
        </w:numPr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/>
          <w:i w:val="0"/>
          <w:color w:val="auto"/>
          <w:kern w:val="24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auto"/>
          <w:kern w:val="24"/>
          <w:sz w:val="24"/>
          <w:szCs w:val="24"/>
          <w:u w:val="none"/>
          <w:lang w:val="en-US" w:eastAsia="zh-CN" w:bidi="ar"/>
        </w:rPr>
        <w:t>成品仓装车用的杂木类木方，上、下两个正面必须露出原木，不能有树皮，最窄宽度不能小于要求的10%。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textAlignment w:val="center"/>
        <w:rPr>
          <w:rFonts w:hint="eastAsia" w:ascii="宋体" w:hAnsi="宋体" w:eastAsia="宋体" w:cs="宋体"/>
          <w:b/>
          <w:bCs w:val="0"/>
          <w:i w:val="0"/>
          <w:color w:val="000000"/>
          <w:kern w:val="24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i w:val="0"/>
          <w:color w:val="000000"/>
          <w:kern w:val="24"/>
          <w:sz w:val="24"/>
          <w:szCs w:val="24"/>
          <w:u w:val="none"/>
          <w:lang w:val="en-US" w:eastAsia="zh-CN" w:bidi="ar"/>
        </w:rPr>
        <w:t>2、尺寸检测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  <w:t>2.1、木方长度、厚度、宽度  只允许正公差，不允许负公差；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  <w:t>2.2、测量木方（厚宽度、）头、尾、中间段尺寸取平均值为该木方实际尺寸，实际尺寸与订货尺寸偏差正负不超过5%；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/>
          <w:b/>
          <w:bCs/>
          <w:kern w:val="24"/>
          <w:sz w:val="24"/>
          <w:lang w:val="en-US" w:eastAsia="zh-CN"/>
        </w:rPr>
      </w:pPr>
      <w:r>
        <w:rPr>
          <w:rFonts w:hint="eastAsia" w:ascii="宋体" w:hAnsi="宋体"/>
          <w:b/>
          <w:bCs/>
          <w:kern w:val="24"/>
          <w:sz w:val="24"/>
          <w:lang w:val="en-US" w:eastAsia="zh-CN"/>
        </w:rPr>
        <w:t>3、弯曲度验收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  <w:t>3.1、木方长度两米以内弯曲度不超过1.2cm，木方长度三米以内弯曲度不超过2.0cm；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  <w:t>3.2、不允许侧弯、扭拧；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/>
          <w:b/>
          <w:bCs/>
          <w:kern w:val="24"/>
          <w:sz w:val="24"/>
          <w:lang w:val="en-US" w:eastAsia="zh-CN"/>
        </w:rPr>
      </w:pPr>
      <w:r>
        <w:rPr>
          <w:rFonts w:hint="eastAsia" w:ascii="宋体" w:hAnsi="宋体"/>
          <w:b/>
          <w:bCs/>
          <w:kern w:val="24"/>
          <w:sz w:val="24"/>
          <w:lang w:val="en-US" w:eastAsia="zh-CN"/>
        </w:rPr>
        <w:t>4、开裂检测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  <w:t>4.1、厚4cm以下薄木方不允许任何开裂；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宋体" w:hAnsi="宋体"/>
          <w:b w:val="0"/>
          <w:bCs w:val="0"/>
          <w:kern w:val="24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  <w:t>4.2、厚木方、垫方开裂长度与宽度；单条开裂缝纵向不超过20cm；开裂缝宽度不超2mm；不允许超3条开裂缝纵向不连续，间接合计不超过50cm长，开裂缝宽度不超2mm</w:t>
      </w:r>
    </w:p>
    <w:p>
      <w:pPr>
        <w:spacing w:line="360" w:lineRule="auto"/>
        <w:jc w:val="both"/>
        <w:rPr>
          <w:rFonts w:hint="eastAsia" w:ascii="宋体" w:hAnsi="宋体"/>
          <w:b/>
          <w:bCs/>
          <w:kern w:val="24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kern w:val="24"/>
          <w:sz w:val="24"/>
          <w:lang w:val="en-US" w:eastAsia="zh-CN"/>
        </w:rPr>
        <w:t>5、干湿度检测</w:t>
      </w:r>
    </w:p>
    <w:p>
      <w:pPr>
        <w:spacing w:line="360" w:lineRule="auto"/>
        <w:jc w:val="both"/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  <w:t>5.1木方含水率不超过20%</w:t>
      </w:r>
    </w:p>
    <w:p>
      <w:pPr>
        <w:spacing w:line="360" w:lineRule="auto"/>
        <w:jc w:val="both"/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  <w:t>含水率(W，%)。计算公式： W=(Gs-Ggo)/ Ggo×100%</w:t>
      </w:r>
    </w:p>
    <w:p>
      <w:pPr>
        <w:spacing w:line="360" w:lineRule="auto"/>
        <w:jc w:val="both"/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  <w:t>其中：W—木材绝对含水率；      Gs—湿木材重量；       Ggo—绝干材重量。</w:t>
      </w:r>
    </w:p>
    <w:p>
      <w:pPr>
        <w:numPr>
          <w:ilvl w:val="0"/>
          <w:numId w:val="5"/>
        </w:numPr>
        <w:spacing w:line="360" w:lineRule="auto"/>
        <w:jc w:val="both"/>
        <w:rPr>
          <w:rFonts w:hint="eastAsia" w:ascii="宋体" w:hAnsi="宋体"/>
          <w:b/>
          <w:bCs/>
          <w:kern w:val="24"/>
          <w:sz w:val="24"/>
          <w:lang w:val="en-US" w:eastAsia="zh-CN"/>
        </w:rPr>
      </w:pPr>
      <w:r>
        <w:rPr>
          <w:rFonts w:hint="eastAsia" w:ascii="宋体" w:hAnsi="宋体"/>
          <w:b/>
          <w:bCs/>
          <w:kern w:val="24"/>
          <w:sz w:val="24"/>
          <w:lang w:val="en-US" w:eastAsia="zh-CN"/>
        </w:rPr>
        <w:t>熏蒸木方标准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  <w:t>6.1熏蒸木方需要求高温熏蒸消毒；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  <w:t>6.2每隔60cm在木方上盖完整熏蒸印。</w:t>
      </w:r>
    </w:p>
    <w:p>
      <w:pPr>
        <w:numPr>
          <w:ilvl w:val="0"/>
          <w:numId w:val="6"/>
        </w:numPr>
        <w:spacing w:line="360" w:lineRule="auto"/>
        <w:jc w:val="both"/>
        <w:rPr>
          <w:rFonts w:hint="eastAsia" w:ascii="宋体" w:hAnsi="宋体"/>
          <w:b/>
          <w:bCs/>
          <w:kern w:val="24"/>
          <w:sz w:val="24"/>
          <w:lang w:val="en-US" w:eastAsia="zh-CN"/>
        </w:rPr>
      </w:pPr>
      <w:r>
        <w:rPr>
          <w:rFonts w:hint="eastAsia" w:ascii="宋体" w:hAnsi="宋体"/>
          <w:b/>
          <w:bCs/>
          <w:kern w:val="24"/>
          <w:sz w:val="24"/>
          <w:lang w:val="en-US" w:eastAsia="zh-CN"/>
        </w:rPr>
        <w:t>木方材质尽量选用彬木或松木。尤其薄木方适合钉铁钉</w:t>
      </w:r>
    </w:p>
    <w:p>
      <w:pPr>
        <w:numPr>
          <w:ilvl w:val="0"/>
          <w:numId w:val="6"/>
        </w:numPr>
        <w:spacing w:line="360" w:lineRule="auto"/>
        <w:jc w:val="both"/>
        <w:rPr>
          <w:rFonts w:hint="eastAsia" w:ascii="宋体" w:hAnsi="宋体"/>
          <w:b/>
          <w:bCs/>
          <w:kern w:val="24"/>
          <w:sz w:val="24"/>
          <w:lang w:val="en-US" w:eastAsia="zh-CN"/>
        </w:rPr>
      </w:pPr>
      <w:r>
        <w:rPr>
          <w:rFonts w:hint="eastAsia" w:ascii="宋体" w:hAnsi="宋体"/>
          <w:b/>
          <w:bCs/>
          <w:kern w:val="24"/>
          <w:sz w:val="24"/>
          <w:lang w:val="en-US" w:eastAsia="zh-CN"/>
        </w:rPr>
        <w:t>每车送货：干湿度不合格、尺寸超下差、蛀虫则全退。弯曲、开裂、边皮、扭宁、</w:t>
      </w:r>
      <w:r>
        <w:rPr>
          <w:rFonts w:hint="eastAsia" w:ascii="宋体" w:hAnsi="宋体" w:eastAsia="宋体" w:cs="宋体"/>
          <w:b/>
          <w:bCs w:val="0"/>
          <w:i w:val="0"/>
          <w:color w:val="000000"/>
          <w:kern w:val="24"/>
          <w:sz w:val="28"/>
          <w:szCs w:val="28"/>
          <w:u w:val="none"/>
          <w:lang w:val="en-US" w:eastAsia="zh-CN" w:bidi="ar"/>
        </w:rPr>
        <w:t>龟</w:t>
      </w:r>
      <w:r>
        <w:rPr>
          <w:rFonts w:hint="eastAsia" w:ascii="宋体" w:hAnsi="宋体" w:cs="宋体"/>
          <w:b/>
          <w:bCs w:val="0"/>
          <w:i w:val="0"/>
          <w:color w:val="000000"/>
          <w:kern w:val="24"/>
          <w:sz w:val="28"/>
          <w:szCs w:val="28"/>
          <w:u w:val="none"/>
          <w:lang w:val="en-US" w:eastAsia="zh-CN" w:bidi="ar"/>
        </w:rPr>
        <w:t xml:space="preserve"> 背等</w:t>
      </w:r>
      <w:r>
        <w:rPr>
          <w:rFonts w:hint="eastAsia" w:ascii="宋体" w:hAnsi="宋体" w:eastAsia="宋体" w:cs="宋体"/>
          <w:b/>
          <w:bCs w:val="0"/>
          <w:i w:val="0"/>
          <w:color w:val="000000"/>
          <w:kern w:val="24"/>
          <w:sz w:val="24"/>
          <w:szCs w:val="24"/>
          <w:u w:val="none"/>
          <w:lang w:val="en-US" w:eastAsia="zh-CN" w:bidi="ar"/>
        </w:rPr>
        <w:t>缺陷</w:t>
      </w:r>
      <w:r>
        <w:rPr>
          <w:rFonts w:hint="eastAsia" w:ascii="宋体" w:hAnsi="宋体"/>
          <w:b/>
          <w:bCs/>
          <w:kern w:val="24"/>
          <w:sz w:val="24"/>
          <w:lang w:val="en-US" w:eastAsia="zh-CN"/>
        </w:rPr>
        <w:t xml:space="preserve"> 每个规格随机抽10条，不合格在1条内可以接收。若不合格超过3条、则全车退货 ，若不合格超过2条，则加抽检10条。原则；1收2加抽3退货。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both"/>
        <w:rPr>
          <w:rFonts w:hint="eastAsia" w:ascii="宋体" w:hAnsi="宋体"/>
          <w:b/>
          <w:bCs/>
          <w:kern w:val="24"/>
          <w:sz w:val="24"/>
          <w:lang w:val="en-US" w:eastAsia="zh-CN"/>
        </w:rPr>
      </w:pPr>
      <w:r>
        <w:rPr>
          <w:rFonts w:hint="eastAsia" w:ascii="宋体" w:hAnsi="宋体"/>
          <w:b/>
          <w:bCs/>
          <w:kern w:val="24"/>
          <w:sz w:val="24"/>
          <w:lang w:val="en-US" w:eastAsia="zh-CN"/>
        </w:rPr>
        <w:t>本验收标准自批准之日起执行</w:t>
      </w:r>
    </w:p>
    <w:p>
      <w:pPr>
        <w:spacing w:line="360" w:lineRule="auto"/>
        <w:jc w:val="both"/>
        <w:rPr>
          <w:rFonts w:hint="eastAsia" w:ascii="宋体" w:hAnsi="宋体"/>
          <w:b/>
          <w:bCs/>
          <w:kern w:val="24"/>
          <w:sz w:val="24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/>
          <w:b/>
          <w:bCs/>
          <w:kern w:val="24"/>
          <w:sz w:val="24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/>
          <w:b/>
          <w:bCs/>
          <w:kern w:val="24"/>
          <w:sz w:val="24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/>
          <w:b/>
          <w:bCs/>
          <w:kern w:val="24"/>
          <w:sz w:val="24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/>
          <w:b/>
          <w:bCs/>
          <w:kern w:val="24"/>
          <w:sz w:val="24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/>
          <w:b/>
          <w:bCs/>
          <w:kern w:val="24"/>
          <w:sz w:val="24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/>
          <w:b/>
          <w:bCs/>
          <w:kern w:val="24"/>
          <w:sz w:val="24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/>
          <w:b/>
          <w:bCs/>
          <w:kern w:val="24"/>
          <w:sz w:val="24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/>
          <w:b/>
          <w:bCs/>
          <w:kern w:val="24"/>
          <w:sz w:val="24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/>
          <w:b/>
          <w:bCs/>
          <w:kern w:val="24"/>
          <w:sz w:val="24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/>
          <w:b/>
          <w:bCs/>
          <w:kern w:val="24"/>
          <w:sz w:val="24"/>
          <w:lang w:val="en-US" w:eastAsia="zh-CN"/>
        </w:rPr>
      </w:pPr>
    </w:p>
    <w:tbl>
      <w:tblPr>
        <w:tblStyle w:val="12"/>
        <w:tblpPr w:leftFromText="180" w:rightFromText="180" w:vertAnchor="text" w:horzAnchor="page" w:tblpX="751" w:tblpY="6993"/>
        <w:tblOverlap w:val="never"/>
        <w:tblW w:w="10600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051"/>
        <w:gridCol w:w="1885"/>
        <w:gridCol w:w="937"/>
        <w:gridCol w:w="2156"/>
        <w:gridCol w:w="295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核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批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准</w:t>
            </w:r>
          </w:p>
        </w:tc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95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日实施</w:t>
            </w:r>
          </w:p>
        </w:tc>
      </w:tr>
    </w:tbl>
    <w:p>
      <w:pPr>
        <w:spacing w:line="360" w:lineRule="auto"/>
        <w:jc w:val="both"/>
        <w:rPr>
          <w:rFonts w:hint="eastAsia" w:ascii="宋体" w:hAnsi="宋体" w:eastAsia="宋体"/>
          <w:b/>
          <w:bCs/>
          <w:sz w:val="24"/>
          <w:lang w:val="en-US" w:eastAsia="zh-CN"/>
        </w:rPr>
        <w:sectPr>
          <w:headerReference r:id="rId3" w:type="default"/>
          <w:pgSz w:w="11906" w:h="16838"/>
          <w:pgMar w:top="851" w:right="851" w:bottom="851" w:left="1134" w:header="851" w:footer="567" w:gutter="0"/>
          <w:pgBorders w:offsetFrom="page">
            <w:top w:val="single" w:color="FFFFFF" w:sz="4" w:space="24"/>
            <w:left w:val="single" w:color="FFFFFF" w:sz="4" w:space="24"/>
            <w:bottom w:val="single" w:color="FFFFFF" w:sz="4" w:space="24"/>
            <w:right w:val="single" w:color="FFFFFF" w:sz="4" w:space="24"/>
          </w:pgBorders>
          <w:cols w:space="720" w:num="1"/>
          <w:docGrid w:type="lines" w:linePitch="312" w:charSpace="0"/>
        </w:sectPr>
      </w:pPr>
    </w:p>
    <w:p>
      <w:pPr>
        <w:spacing w:line="360" w:lineRule="auto"/>
        <w:jc w:val="both"/>
        <w:rPr>
          <w:rFonts w:hint="eastAsia" w:ascii="宋体" w:hAnsi="宋体"/>
          <w:b/>
          <w:bCs/>
          <w:sz w:val="24"/>
        </w:rPr>
      </w:pPr>
    </w:p>
    <w:sectPr>
      <w:headerReference r:id="rId4" w:type="default"/>
      <w:pgSz w:w="11906" w:h="16838"/>
      <w:pgMar w:top="851" w:right="851" w:bottom="851" w:left="1134" w:header="851" w:footer="567" w:gutter="0"/>
      <w:pgBorders w:offsetFrom="page">
        <w:top w:val="single" w:color="FFFFFF" w:sz="4" w:space="24"/>
        <w:left w:val="single" w:color="FFFFFF" w:sz="4" w:space="24"/>
        <w:bottom w:val="single" w:color="FFFFFF" w:sz="4" w:space="24"/>
        <w:right w:val="single" w:color="FFFFFF" w:sz="4" w:space="24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pPr w:leftFromText="180" w:rightFromText="180" w:vertAnchor="page" w:horzAnchor="page" w:tblpXSpec="center" w:tblpY="288"/>
      <w:tblW w:w="10620" w:type="dxa"/>
      <w:jc w:val="center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12" w:space="0"/>
        <w:insideV w:val="single" w:color="auto" w:sz="1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530"/>
      <w:gridCol w:w="2790"/>
    </w:tblGrid>
    <w:tr>
      <w:tblPrEx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14" w:hRule="atLeast"/>
        <w:jc w:val="center"/>
      </w:trPr>
      <w:tc>
        <w:tcPr>
          <w:tcW w:w="6300" w:type="dxa"/>
          <w:vMerge w:val="restart"/>
          <w:vAlign w:val="top"/>
        </w:tcPr>
        <w:p>
          <w:pPr>
            <w:pStyle w:val="68"/>
          </w:pPr>
          <w:r>
            <w:rPr>
              <w:rFonts w:hint="eastAsia" w:ascii="楷体_GB2312" w:eastAsia="楷体_GB2312"/>
              <w:sz w:val="24"/>
            </w:rPr>
            <w:drawing>
              <wp:inline distT="0" distB="0" distL="114300" distR="114300">
                <wp:extent cx="1150620" cy="681355"/>
                <wp:effectExtent l="0" t="0" r="11430" b="4445"/>
                <wp:docPr id="7" name="图片 1" descr="wacanglogo(black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图片 1" descr="wacanglogo(black)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eastAsia" w:ascii="楷体_GB2312" w:eastAsia="楷体_GB2312"/>
              <w:sz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1170305</wp:posOffset>
                    </wp:positionH>
                    <wp:positionV relativeFrom="paragraph">
                      <wp:posOffset>151130</wp:posOffset>
                    </wp:positionV>
                    <wp:extent cx="2857500" cy="495300"/>
                    <wp:effectExtent l="0" t="0" r="0" b="0"/>
                    <wp:wrapNone/>
                    <wp:docPr id="6" name="文本框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57500" cy="495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b/>
                                    <w:bCs/>
                                    <w:sz w:val="34"/>
                                  </w:rPr>
                                </w:pPr>
                                <w:r>
                                  <w:rPr>
                                    <w:rFonts w:hint="eastAsia" w:ascii="黑体" w:hAnsi="宋体" w:eastAsia="黑体"/>
                                    <w:b/>
                                    <w:bCs/>
                                    <w:sz w:val="34"/>
                                  </w:rPr>
                                  <w:t>华昌铝厂有限公司</w:t>
                                </w:r>
                                <w:r>
                                  <w:rPr>
                                    <w:rFonts w:hint="eastAsia" w:ascii="黑体" w:eastAsia="黑体"/>
                                    <w:b/>
                                    <w:bCs/>
                                    <w:sz w:val="34"/>
                                  </w:rPr>
                                  <w:t>管理制度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文本框 1" o:spid="_x0000_s1026" o:spt="202" type="#_x0000_t202" style="position:absolute;left:0pt;margin-left:92.15pt;margin-top:11.9pt;height:39pt;width:225pt;z-index:251660288;mso-width-relative:page;mso-height-relative:page;" filled="f" stroked="f" coordsize="21600,21600" o:gfxdata="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9z1d3WAAAACgEAAA8AAAAA&#10;AAAAAQAgAAAAIgAAAGRycy9kb3ducmV2LnhtbFBLAQIUABQAAAAIAIdO4kB8OdbUpAEAABcDAAAO&#10;AAAAAAAAAAEAIAAAACUBAABkcnMvZTJvRG9jLnhtbFBLBQYAAAAABgAGAFkBAAA7BQ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b/>
                              <w:bCs/>
                              <w:sz w:val="34"/>
                            </w:rPr>
                          </w:pPr>
                          <w:r>
                            <w:rPr>
                              <w:rFonts w:hint="eastAsia" w:ascii="黑体" w:hAnsi="宋体" w:eastAsia="黑体"/>
                              <w:b/>
                              <w:bCs/>
                              <w:sz w:val="34"/>
                            </w:rPr>
                            <w:t>华昌铝厂有限公司</w:t>
                          </w:r>
                          <w:r>
                            <w:rPr>
                              <w:rFonts w:hint="eastAsia" w:ascii="黑体" w:eastAsia="黑体"/>
                              <w:b/>
                              <w:bCs/>
                              <w:sz w:val="34"/>
                            </w:rPr>
                            <w:t>管理制度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MingLiU" w:hAnsi="MingLiU" w:eastAsia="MingLiU"/>
              <w:b/>
              <w:bCs/>
              <w:color w:val="000000"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-67945</wp:posOffset>
                    </wp:positionH>
                    <wp:positionV relativeFrom="paragraph">
                      <wp:posOffset>684530</wp:posOffset>
                    </wp:positionV>
                    <wp:extent cx="6744335" cy="9182100"/>
                    <wp:effectExtent l="8890" t="0" r="9525" b="19050"/>
                    <wp:wrapNone/>
                    <wp:docPr id="5" name="组合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744335" cy="9182100"/>
                              <a:chOff x="0" y="0"/>
                              <a:chExt cx="10621" cy="13578"/>
                            </a:xfrm>
                          </wpg:grpSpPr>
                          <wps:wsp>
                            <wps:cNvPr id="1" name="直线 3"/>
                            <wps:cNvCnPr/>
                            <wps:spPr>
                              <a:xfrm>
                                <a:off x="0" y="13568"/>
                                <a:ext cx="10620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4" name="组合 4"/>
                            <wpg:cNvGrpSpPr/>
                            <wpg:grpSpPr>
                              <a:xfrm>
                                <a:off x="1" y="0"/>
                                <a:ext cx="10620" cy="13578"/>
                                <a:chOff x="0" y="0"/>
                                <a:chExt cx="10620" cy="13578"/>
                              </a:xfrm>
                            </wpg:grpSpPr>
                            <wps:wsp>
                              <wps:cNvPr id="2" name="直线 5"/>
                              <wps:cNvCnPr/>
                              <wps:spPr>
                                <a:xfrm>
                                  <a:off x="0" y="6"/>
                                  <a:ext cx="0" cy="13572"/>
                                </a:xfrm>
                                <a:prstGeom prst="line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" name="直线 6"/>
                              <wps:cNvCnPr/>
                              <wps:spPr>
                                <a:xfrm>
                                  <a:off x="10619" y="0"/>
                                  <a:ext cx="1" cy="13578"/>
                                </a:xfrm>
                                <a:prstGeom prst="line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组合 2" o:spid="_x0000_s1026" o:spt="203" style="position:absolute;left:0pt;margin-left:-5.35pt;margin-top:53.9pt;height:723pt;width:531.05pt;z-index:251659264;mso-width-relative:page;mso-height-relative:page;" coordsize="10621,13578" o:gfxdata="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KC0MVHbAAAADQEAAA8AAAAAAAAAAQAgAAAAIgAAAGRy&#10;cy9kb3ducmV2LnhtbFBLAQIUABQAAAAIAIdO4kDk8JySrQIAAOYJAAAOAAAAAAAAAAEAIAAAACoB&#10;AABkcnMvZTJvRG9jLnhtbFBLBQYAAAAABgAGAFkBAABJBgAAAAA=&#10;">
                    <o:lock v:ext="edit" aspectratio="f"/>
                    <v:line id="直线 3" o:spid="_x0000_s1026" o:spt="20" style="position:absolute;left:0;top:13568;height:0;width:10620;" filled="f" stroked="t" coordsize="21600,21600" o:gfxdata="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mHyn7sAAADa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group id="_x0000_s1026" o:spid="_x0000_s1026" o:spt="203" style="position:absolute;left:1;top:0;height:13578;width:10620;" coordsize="10620,13578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  <o:lock v:ext="edit" aspectratio="f"/>
                      <v:line id="直线 5" o:spid="_x0000_s1026" o:spt="20" style="position:absolute;left:0;top:6;height:13572;width:0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</v:line>
                      <v:line id="直线 6" o:spid="_x0000_s1026" o:spt="20" style="position:absolute;left:10619;top:0;height:13578;width:1;" filled="f" stroked="t" coordsize="21600,21600" o:gfxdata="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/yXO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</v:line>
                    </v:group>
                  </v:group>
                </w:pict>
              </mc:Fallback>
            </mc:AlternateContent>
          </w:r>
        </w:p>
      </w:tc>
      <w:tc>
        <w:tcPr>
          <w:tcW w:w="1530" w:type="dxa"/>
          <w:vAlign w:val="center"/>
        </w:tcPr>
        <w:p>
          <w:pPr>
            <w:pStyle w:val="68"/>
            <w:jc w:val="center"/>
            <w:rPr>
              <w:rFonts w:ascii="宋体" w:hAnsi="宋体"/>
              <w:bCs/>
              <w:color w:val="000000"/>
              <w:sz w:val="24"/>
            </w:rPr>
          </w:pPr>
          <w:r>
            <w:rPr>
              <w:rFonts w:hint="eastAsia" w:ascii="宋体" w:hAnsi="宋体"/>
              <w:bCs/>
              <w:color w:val="000000"/>
              <w:sz w:val="24"/>
            </w:rPr>
            <w:t>文件编号</w:t>
          </w:r>
        </w:p>
      </w:tc>
      <w:tc>
        <w:tcPr>
          <w:tcW w:w="2790" w:type="dxa"/>
          <w:vAlign w:val="center"/>
        </w:tcPr>
        <w:p>
          <w:pPr>
            <w:pStyle w:val="76"/>
            <w:rPr>
              <w:rFonts w:hint="eastAsia" w:ascii="宋体" w:hAnsi="宋体"/>
              <w:b w:val="0"/>
              <w:color w:val="000000"/>
            </w:rPr>
          </w:pPr>
        </w:p>
      </w:tc>
    </w:tr>
    <w:tr>
      <w:tblPrEx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66" w:hRule="atLeast"/>
        <w:jc w:val="center"/>
      </w:trPr>
      <w:tc>
        <w:tcPr>
          <w:tcW w:w="6300" w:type="dxa"/>
          <w:vMerge w:val="continue"/>
          <w:vAlign w:val="center"/>
        </w:tcPr>
        <w:p>
          <w:pPr>
            <w:pStyle w:val="68"/>
            <w:widowControl/>
            <w:jc w:val="left"/>
          </w:pPr>
        </w:p>
      </w:tc>
      <w:tc>
        <w:tcPr>
          <w:tcW w:w="1530" w:type="dxa"/>
          <w:vAlign w:val="center"/>
        </w:tcPr>
        <w:p>
          <w:pPr>
            <w:pStyle w:val="68"/>
            <w:jc w:val="center"/>
            <w:rPr>
              <w:rFonts w:ascii="宋体" w:hAnsi="宋体"/>
              <w:bCs/>
              <w:sz w:val="24"/>
            </w:rPr>
          </w:pPr>
          <w:r>
            <w:rPr>
              <w:rFonts w:hint="eastAsia" w:ascii="宋体" w:hAnsi="宋体"/>
              <w:bCs/>
              <w:sz w:val="24"/>
            </w:rPr>
            <w:t>页</w:t>
          </w:r>
          <w:r>
            <w:rPr>
              <w:rFonts w:ascii="宋体" w:hAnsi="宋体"/>
              <w:bCs/>
              <w:sz w:val="24"/>
            </w:rPr>
            <w:t xml:space="preserve">  </w:t>
          </w:r>
          <w:r>
            <w:rPr>
              <w:rFonts w:hint="eastAsia" w:ascii="宋体" w:hAnsi="宋体"/>
              <w:bCs/>
              <w:sz w:val="24"/>
            </w:rPr>
            <w:t>数</w:t>
          </w:r>
        </w:p>
      </w:tc>
      <w:tc>
        <w:tcPr>
          <w:tcW w:w="2790" w:type="dxa"/>
          <w:vAlign w:val="center"/>
        </w:tcPr>
        <w:p>
          <w:pPr>
            <w:pStyle w:val="68"/>
            <w:jc w:val="center"/>
            <w:rPr>
              <w:rFonts w:ascii="宋体" w:hAnsi="宋体"/>
              <w:bCs/>
              <w:sz w:val="24"/>
            </w:rPr>
          </w:pPr>
          <w:r>
            <w:rPr>
              <w:rFonts w:hint="eastAsia" w:ascii="宋体" w:hAnsi="宋体"/>
              <w:bCs/>
              <w:sz w:val="24"/>
            </w:rPr>
            <w:t xml:space="preserve">第 </w:t>
          </w:r>
          <w:r>
            <w:rPr>
              <w:rFonts w:hint="eastAsia" w:ascii="宋体" w:hAnsi="宋体"/>
              <w:bCs/>
              <w:sz w:val="24"/>
            </w:rPr>
            <w:fldChar w:fldCharType="begin"/>
          </w:r>
          <w:r>
            <w:rPr>
              <w:rFonts w:hint="eastAsia" w:ascii="宋体" w:hAnsi="宋体"/>
              <w:bCs/>
              <w:sz w:val="24"/>
            </w:rPr>
            <w:instrText xml:space="preserve"> PAGE </w:instrText>
          </w:r>
          <w:r>
            <w:rPr>
              <w:rFonts w:hint="eastAsia" w:ascii="宋体" w:hAnsi="宋体"/>
              <w:bCs/>
              <w:sz w:val="24"/>
            </w:rPr>
            <w:fldChar w:fldCharType="separate"/>
          </w:r>
          <w:r>
            <w:rPr>
              <w:rFonts w:ascii="宋体" w:hAnsi="宋体"/>
              <w:bCs/>
              <w:sz w:val="24"/>
            </w:rPr>
            <w:t>5</w:t>
          </w:r>
          <w:r>
            <w:rPr>
              <w:rFonts w:hint="eastAsia" w:ascii="宋体" w:hAnsi="宋体"/>
              <w:bCs/>
              <w:sz w:val="24"/>
            </w:rPr>
            <w:fldChar w:fldCharType="end"/>
          </w:r>
          <w:r>
            <w:rPr>
              <w:rFonts w:hint="eastAsia" w:ascii="宋体" w:hAnsi="宋体"/>
              <w:bCs/>
              <w:sz w:val="24"/>
            </w:rPr>
            <w:t xml:space="preserve"> 页，共 </w:t>
          </w:r>
          <w:r>
            <w:rPr>
              <w:rFonts w:hint="eastAsia" w:ascii="宋体" w:hAnsi="宋体"/>
              <w:bCs/>
              <w:sz w:val="24"/>
              <w:lang w:val="en-US" w:eastAsia="zh-CN"/>
            </w:rPr>
            <w:t>1</w:t>
          </w:r>
          <w:r>
            <w:rPr>
              <w:rFonts w:hint="eastAsia" w:ascii="宋体" w:hAnsi="宋体"/>
              <w:bCs/>
              <w:sz w:val="24"/>
            </w:rPr>
            <w:t xml:space="preserve"> 页</w:t>
          </w:r>
        </w:p>
      </w:tc>
    </w:tr>
    <w:tr>
      <w:tblPrEx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43" w:hRule="atLeast"/>
        <w:jc w:val="center"/>
      </w:trPr>
      <w:tc>
        <w:tcPr>
          <w:tcW w:w="6300" w:type="dxa"/>
          <w:vAlign w:val="center"/>
        </w:tcPr>
        <w:p>
          <w:pPr>
            <w:pStyle w:val="68"/>
            <w:jc w:val="center"/>
            <w:rPr>
              <w:rFonts w:hint="eastAsia"/>
              <w:sz w:val="28"/>
              <w:szCs w:val="28"/>
            </w:rPr>
          </w:pPr>
          <w:r>
            <w:rPr>
              <w:rFonts w:hint="eastAsia"/>
              <w:b/>
              <w:sz w:val="28"/>
              <w:szCs w:val="28"/>
              <w:lang w:eastAsia="zh-CN"/>
            </w:rPr>
            <w:t>木方</w:t>
          </w:r>
          <w:r>
            <w:rPr>
              <w:rFonts w:hint="eastAsia"/>
              <w:b/>
              <w:sz w:val="28"/>
              <w:szCs w:val="28"/>
            </w:rPr>
            <w:t>材料收货标准</w:t>
          </w:r>
        </w:p>
      </w:tc>
      <w:tc>
        <w:tcPr>
          <w:tcW w:w="1530" w:type="dxa"/>
          <w:vAlign w:val="center"/>
        </w:tcPr>
        <w:p>
          <w:pPr>
            <w:pStyle w:val="68"/>
            <w:jc w:val="center"/>
            <w:rPr>
              <w:rFonts w:ascii="宋体" w:hAnsi="宋体"/>
              <w:bCs/>
              <w:sz w:val="24"/>
            </w:rPr>
          </w:pPr>
          <w:r>
            <w:rPr>
              <w:rFonts w:hint="eastAsia" w:ascii="宋体" w:hAnsi="宋体"/>
              <w:bCs/>
              <w:sz w:val="24"/>
            </w:rPr>
            <w:t>修改状态</w:t>
          </w:r>
        </w:p>
      </w:tc>
      <w:tc>
        <w:tcPr>
          <w:tcW w:w="2790" w:type="dxa"/>
          <w:vAlign w:val="center"/>
        </w:tcPr>
        <w:p>
          <w:pPr>
            <w:pStyle w:val="68"/>
            <w:jc w:val="center"/>
            <w:rPr>
              <w:rFonts w:ascii="宋体" w:hAnsi="宋体"/>
              <w:bCs/>
              <w:sz w:val="24"/>
            </w:rPr>
          </w:pPr>
          <w:r>
            <w:rPr>
              <w:rFonts w:hint="eastAsia" w:ascii="宋体" w:hAnsi="宋体"/>
              <w:bCs/>
              <w:sz w:val="24"/>
            </w:rPr>
            <w:t>第</w:t>
          </w:r>
          <w:r>
            <w:rPr>
              <w:rFonts w:hint="eastAsia" w:ascii="宋体" w:hAnsi="宋体"/>
              <w:bCs/>
              <w:sz w:val="24"/>
              <w:lang w:val="en-US" w:eastAsia="zh-CN"/>
            </w:rPr>
            <w:t>1</w:t>
          </w:r>
          <w:r>
            <w:rPr>
              <w:rFonts w:hint="eastAsia" w:ascii="宋体" w:hAnsi="宋体"/>
              <w:bCs/>
              <w:sz w:val="24"/>
            </w:rPr>
            <w:t>版第</w:t>
          </w:r>
          <w:r>
            <w:rPr>
              <w:rFonts w:hint="eastAsia" w:ascii="宋体" w:hAnsi="宋体"/>
              <w:bCs/>
              <w:sz w:val="24"/>
              <w:lang w:val="en-US" w:eastAsia="zh-CN"/>
            </w:rPr>
            <w:t xml:space="preserve">  </w:t>
          </w:r>
          <w:r>
            <w:rPr>
              <w:rFonts w:hint="eastAsia" w:ascii="宋体" w:hAnsi="宋体"/>
              <w:bCs/>
              <w:sz w:val="24"/>
            </w:rPr>
            <w:t>次修改</w:t>
          </w:r>
        </w:p>
      </w:tc>
    </w:tr>
  </w:tbl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B893B7"/>
    <w:multiLevelType w:val="singleLevel"/>
    <w:tmpl w:val="ADB893B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88D6ED1"/>
    <w:multiLevelType w:val="singleLevel"/>
    <w:tmpl w:val="B88D6ED1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ED1C412"/>
    <w:multiLevelType w:val="multilevel"/>
    <w:tmpl w:val="EED1C412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suff w:val="nothing"/>
      <w:lvlText w:val="%1.%2、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nothing"/>
      <w:lvlText w:val="%1.%2.%3、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nothing"/>
      <w:lvlText w:val="%1.%2.%3.%4、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nothing"/>
      <w:lvlText w:val="%1.%2.%3.%4.%5、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nothing"/>
      <w:lvlText w:val="%1.%2.%3.%4.%5.%6、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nothing"/>
      <w:lvlText w:val="%1.%2.%3.%4.%5.%6.%7、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nothing"/>
      <w:lvlText w:val="%1.%2.%3.%4.%5.%6.%7.%8、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nothing"/>
      <w:lvlText w:val="%1.%2.%3.%4.%5.%6.%7.%8.%9、"/>
      <w:lvlJc w:val="left"/>
      <w:pPr>
        <w:ind w:left="0" w:firstLine="0"/>
      </w:pPr>
      <w:rPr>
        <w:rFonts w:hint="default"/>
      </w:rPr>
    </w:lvl>
  </w:abstractNum>
  <w:abstractNum w:abstractNumId="3">
    <w:nsid w:val="F6A35510"/>
    <w:multiLevelType w:val="singleLevel"/>
    <w:tmpl w:val="F6A3551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C0FF7C7"/>
    <w:multiLevelType w:val="singleLevel"/>
    <w:tmpl w:val="4C0FF7C7"/>
    <w:lvl w:ilvl="0" w:tentative="0">
      <w:start w:val="6"/>
      <w:numFmt w:val="decimal"/>
      <w:suff w:val="nothing"/>
      <w:lvlText w:val="%1、"/>
      <w:lvlJc w:val="left"/>
    </w:lvl>
  </w:abstractNum>
  <w:abstractNum w:abstractNumId="5">
    <w:nsid w:val="5FC9F53A"/>
    <w:multiLevelType w:val="singleLevel"/>
    <w:tmpl w:val="5FC9F53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NDZiNTQ5NzY4YWRiZTIxMTdiMTQyN2M1NTI0OWQifQ=="/>
  </w:docVars>
  <w:rsids>
    <w:rsidRoot w:val="00172A27"/>
    <w:rsid w:val="0592204F"/>
    <w:rsid w:val="0BF02876"/>
    <w:rsid w:val="0C1910EE"/>
    <w:rsid w:val="0C4647D1"/>
    <w:rsid w:val="113227D0"/>
    <w:rsid w:val="11C771FB"/>
    <w:rsid w:val="14D71F4A"/>
    <w:rsid w:val="1541158F"/>
    <w:rsid w:val="17B243F8"/>
    <w:rsid w:val="18332EA5"/>
    <w:rsid w:val="18956F58"/>
    <w:rsid w:val="1E4231BB"/>
    <w:rsid w:val="21BE4449"/>
    <w:rsid w:val="26186060"/>
    <w:rsid w:val="26581AFB"/>
    <w:rsid w:val="2E554C96"/>
    <w:rsid w:val="301048C8"/>
    <w:rsid w:val="31241413"/>
    <w:rsid w:val="324F0BF6"/>
    <w:rsid w:val="34D9145F"/>
    <w:rsid w:val="35C20D92"/>
    <w:rsid w:val="3A8559FB"/>
    <w:rsid w:val="3A8D331B"/>
    <w:rsid w:val="3BB53438"/>
    <w:rsid w:val="3BE23964"/>
    <w:rsid w:val="3F8740B4"/>
    <w:rsid w:val="466778A6"/>
    <w:rsid w:val="4760529D"/>
    <w:rsid w:val="48103636"/>
    <w:rsid w:val="4D597311"/>
    <w:rsid w:val="4E047CFE"/>
    <w:rsid w:val="4E650B7D"/>
    <w:rsid w:val="50B47FDF"/>
    <w:rsid w:val="52A42E8A"/>
    <w:rsid w:val="52D25110"/>
    <w:rsid w:val="5476146E"/>
    <w:rsid w:val="54BE0618"/>
    <w:rsid w:val="5712106B"/>
    <w:rsid w:val="58BF7737"/>
    <w:rsid w:val="590C148E"/>
    <w:rsid w:val="5ADB7A15"/>
    <w:rsid w:val="5B3D17AD"/>
    <w:rsid w:val="5C0C0447"/>
    <w:rsid w:val="600079D9"/>
    <w:rsid w:val="628D4842"/>
    <w:rsid w:val="64533CCD"/>
    <w:rsid w:val="67DB3AFB"/>
    <w:rsid w:val="680D5F8E"/>
    <w:rsid w:val="68530DE8"/>
    <w:rsid w:val="6C121562"/>
    <w:rsid w:val="709A5F5F"/>
    <w:rsid w:val="71BC4C6B"/>
    <w:rsid w:val="736B47A1"/>
    <w:rsid w:val="7B9654CE"/>
    <w:rsid w:val="7E7B3415"/>
    <w:rsid w:val="7FFC61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qFormat/>
    <w:uiPriority w:val="0"/>
    <w:pPr>
      <w:spacing w:line="520" w:lineRule="exact"/>
      <w:ind w:firstLine="570"/>
    </w:pPr>
    <w:rPr>
      <w:rFonts w:ascii="宋体"/>
      <w:sz w:val="28"/>
      <w:szCs w:val="20"/>
    </w:rPr>
  </w:style>
  <w:style w:type="paragraph" w:styleId="7">
    <w:name w:val="Body Text Indent 2"/>
    <w:basedOn w:val="1"/>
    <w:qFormat/>
    <w:uiPriority w:val="0"/>
    <w:pPr>
      <w:spacing w:line="520" w:lineRule="exact"/>
      <w:ind w:firstLine="538" w:firstLineChars="192"/>
    </w:pPr>
    <w:rPr>
      <w:sz w:val="28"/>
      <w:szCs w:val="20"/>
    </w:r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5"/>
    <w:next w:val="5"/>
    <w:qFormat/>
    <w:uiPriority w:val="0"/>
    <w:rPr>
      <w:b/>
      <w:bCs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paragraph" w:customStyle="1" w:styleId="17">
    <w:name w:val="正文文本 New New New New New"/>
    <w:basedOn w:val="1"/>
    <w:qFormat/>
    <w:uiPriority w:val="0"/>
    <w:pPr>
      <w:tabs>
        <w:tab w:val="left" w:pos="945"/>
      </w:tabs>
    </w:pPr>
    <w:rPr>
      <w:sz w:val="28"/>
    </w:rPr>
  </w:style>
  <w:style w:type="paragraph" w:customStyle="1" w:styleId="18">
    <w:name w:val="页脚 New New New New New New New New New New"/>
    <w:basedOn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9">
    <w:name w:val="正文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20">
    <w:name w:val="表格项目"/>
    <w:basedOn w:val="21"/>
    <w:qFormat/>
    <w:uiPriority w:val="0"/>
    <w:pPr>
      <w:jc w:val="center"/>
    </w:pPr>
    <w:rPr>
      <w:kern w:val="0"/>
      <w:sz w:val="18"/>
      <w:szCs w:val="24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">
    <w:name w:val="页眉 New New New New New New New New New New New"/>
    <w:basedOn w:val="2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23">
    <w:name w:val="正文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24">
    <w:name w:val="正文文本 New New New New New New"/>
    <w:basedOn w:val="1"/>
    <w:qFormat/>
    <w:uiPriority w:val="0"/>
    <w:pPr>
      <w:tabs>
        <w:tab w:val="left" w:pos="945"/>
      </w:tabs>
    </w:pPr>
    <w:rPr>
      <w:sz w:val="28"/>
    </w:rPr>
  </w:style>
  <w:style w:type="paragraph" w:customStyle="1" w:styleId="25">
    <w:name w:val="正文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26">
    <w:name w:val="页眉 New"/>
    <w:basedOn w:val="2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27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28">
    <w:name w:val="正文文本缩进 2 New"/>
    <w:basedOn w:val="29"/>
    <w:qFormat/>
    <w:uiPriority w:val="0"/>
    <w:pPr>
      <w:spacing w:line="520" w:lineRule="exact"/>
      <w:ind w:firstLine="538" w:firstLineChars="192"/>
    </w:pPr>
    <w:rPr>
      <w:sz w:val="28"/>
      <w:szCs w:val="20"/>
    </w:rPr>
  </w:style>
  <w:style w:type="paragraph" w:customStyle="1" w:styleId="29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0">
    <w:name w:val="页脚 New New New New New New New New New New New New"/>
    <w:basedOn w:val="3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1">
    <w:name w:val="正文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32">
    <w:name w:val="页眉 New New New New New New New New New New"/>
    <w:basedOn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33">
    <w:name w:val="正文文本 New New New"/>
    <w:basedOn w:val="1"/>
    <w:qFormat/>
    <w:uiPriority w:val="0"/>
    <w:pPr>
      <w:tabs>
        <w:tab w:val="left" w:pos="945"/>
      </w:tabs>
    </w:pPr>
    <w:rPr>
      <w:sz w:val="28"/>
    </w:rPr>
  </w:style>
  <w:style w:type="paragraph" w:customStyle="1" w:styleId="34">
    <w:name w:val="正文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35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36">
    <w:name w:val="正文首行缩进 New New New New"/>
    <w:basedOn w:val="37"/>
    <w:qFormat/>
    <w:uiPriority w:val="0"/>
    <w:pPr>
      <w:tabs>
        <w:tab w:val="left" w:pos="945"/>
      </w:tabs>
      <w:spacing w:after="120" w:afterLines="0"/>
      <w:ind w:firstLine="420" w:firstLineChars="100"/>
    </w:pPr>
    <w:rPr>
      <w:sz w:val="21"/>
    </w:rPr>
  </w:style>
  <w:style w:type="paragraph" w:customStyle="1" w:styleId="37">
    <w:name w:val="正文文本 New New New New"/>
    <w:basedOn w:val="1"/>
    <w:qFormat/>
    <w:uiPriority w:val="0"/>
    <w:pPr>
      <w:tabs>
        <w:tab w:val="left" w:pos="945"/>
      </w:tabs>
    </w:pPr>
    <w:rPr>
      <w:sz w:val="28"/>
    </w:rPr>
  </w:style>
  <w:style w:type="paragraph" w:customStyle="1" w:styleId="38">
    <w:name w:val="页眉 New New New New New New New"/>
    <w:basedOn w:val="3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39">
    <w:name w:val="页眉 New New New New New New"/>
    <w:basedOn w:val="4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40">
    <w:name w:val="正文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41">
    <w:name w:val="页眉 New New New New"/>
    <w:basedOn w:val="4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42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43">
    <w:name w:val="页脚 New New New New New New New New New New New"/>
    <w:basedOn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4">
    <w:name w:val="表格正文"/>
    <w:basedOn w:val="21"/>
    <w:qFormat/>
    <w:uiPriority w:val="0"/>
    <w:pPr>
      <w:spacing w:line="300" w:lineRule="auto"/>
      <w:ind w:left="100" w:leftChars="100" w:right="100" w:rightChars="100" w:firstLine="200" w:firstLineChars="200"/>
    </w:pPr>
    <w:rPr>
      <w:rFonts w:eastAsia="楷体_GB2312"/>
      <w:kern w:val="0"/>
      <w:sz w:val="24"/>
      <w:szCs w:val="24"/>
    </w:rPr>
  </w:style>
  <w:style w:type="paragraph" w:customStyle="1" w:styleId="45">
    <w:name w:val="页眉 New New"/>
    <w:basedOn w:val="4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46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47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48">
    <w:name w:val="正文 New New New New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49">
    <w:name w:val="页眉 New New New New New New New New"/>
    <w:basedOn w:val="50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0">
    <w:name w:val="正文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51">
    <w:name w:val="正文首行缩进 New New New New New New New New"/>
    <w:basedOn w:val="52"/>
    <w:uiPriority w:val="0"/>
    <w:pPr>
      <w:tabs>
        <w:tab w:val="left" w:pos="945"/>
      </w:tabs>
      <w:spacing w:after="120" w:afterLines="0"/>
      <w:ind w:firstLine="420" w:firstLineChars="100"/>
    </w:pPr>
    <w:rPr>
      <w:sz w:val="21"/>
    </w:rPr>
  </w:style>
  <w:style w:type="paragraph" w:customStyle="1" w:styleId="52">
    <w:name w:val="正文文本 New New New New New New New New"/>
    <w:basedOn w:val="1"/>
    <w:uiPriority w:val="0"/>
    <w:pPr>
      <w:tabs>
        <w:tab w:val="left" w:pos="945"/>
      </w:tabs>
    </w:pPr>
    <w:rPr>
      <w:sz w:val="28"/>
    </w:rPr>
  </w:style>
  <w:style w:type="paragraph" w:customStyle="1" w:styleId="53">
    <w:name w:val="正文首行缩进 New New"/>
    <w:basedOn w:val="54"/>
    <w:uiPriority w:val="0"/>
    <w:pPr>
      <w:tabs>
        <w:tab w:val="left" w:pos="945"/>
      </w:tabs>
      <w:spacing w:after="120" w:afterLines="0"/>
      <w:ind w:firstLine="420" w:firstLineChars="100"/>
    </w:pPr>
    <w:rPr>
      <w:sz w:val="21"/>
    </w:rPr>
  </w:style>
  <w:style w:type="paragraph" w:customStyle="1" w:styleId="54">
    <w:name w:val="正文文本 New New"/>
    <w:basedOn w:val="1"/>
    <w:uiPriority w:val="0"/>
    <w:pPr>
      <w:tabs>
        <w:tab w:val="left" w:pos="945"/>
      </w:tabs>
    </w:pPr>
    <w:rPr>
      <w:sz w:val="28"/>
    </w:rPr>
  </w:style>
  <w:style w:type="paragraph" w:customStyle="1" w:styleId="55">
    <w:name w:val="正文 New New New New New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56">
    <w:name w:val="正文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57">
    <w:name w:val="正文文本 New New New New New New New"/>
    <w:basedOn w:val="1"/>
    <w:uiPriority w:val="0"/>
    <w:pPr>
      <w:tabs>
        <w:tab w:val="left" w:pos="945"/>
      </w:tabs>
    </w:pPr>
    <w:rPr>
      <w:sz w:val="28"/>
    </w:rPr>
  </w:style>
  <w:style w:type="paragraph" w:customStyle="1" w:styleId="58">
    <w:name w:val="标题 3 New"/>
    <w:basedOn w:val="29"/>
    <w:next w:val="29"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paragraph" w:customStyle="1" w:styleId="59">
    <w:name w:val="正文 New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60">
    <w:name w:val="页脚 New New New New New New New"/>
    <w:basedOn w:val="3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1">
    <w:name w:val="正文文本 New"/>
    <w:basedOn w:val="1"/>
    <w:uiPriority w:val="0"/>
    <w:pPr>
      <w:tabs>
        <w:tab w:val="left" w:pos="945"/>
      </w:tabs>
    </w:pPr>
    <w:rPr>
      <w:sz w:val="28"/>
    </w:rPr>
  </w:style>
  <w:style w:type="paragraph" w:customStyle="1" w:styleId="62">
    <w:name w:val="页脚 New New"/>
    <w:basedOn w:val="4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3">
    <w:name w:val="页眉 New New New New New New New New New"/>
    <w:basedOn w:val="25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4">
    <w:name w:val="页眉 New New New New New New New New New New New New"/>
    <w:basedOn w:val="3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5">
    <w:name w:val="页脚 New New New"/>
    <w:basedOn w:val="5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6">
    <w:name w:val="正文 New New New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67">
    <w:name w:val="正文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68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9">
    <w:name w:val="正文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70">
    <w:name w:val="正文首行缩进 New New New New New"/>
    <w:basedOn w:val="17"/>
    <w:uiPriority w:val="0"/>
    <w:pPr>
      <w:tabs>
        <w:tab w:val="clear" w:pos="945"/>
      </w:tabs>
      <w:spacing w:after="120" w:afterLines="0"/>
      <w:ind w:firstLine="420" w:firstLineChars="100"/>
    </w:pPr>
    <w:rPr>
      <w:sz w:val="21"/>
    </w:rPr>
  </w:style>
  <w:style w:type="paragraph" w:customStyle="1" w:styleId="71">
    <w:name w:val="页脚 New New New New New"/>
    <w:basedOn w:val="6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2">
    <w:name w:val="页眉 New New New New New"/>
    <w:basedOn w:val="69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3">
    <w:name w:val="页脚 New New New New New New"/>
    <w:basedOn w:val="4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4">
    <w:name w:val="标题 1 New New"/>
    <w:uiPriority w:val="0"/>
    <w:pPr>
      <w:keepNext/>
      <w:jc w:val="center"/>
      <w:outlineLvl w:val="0"/>
    </w:pPr>
    <w:rPr>
      <w:rFonts w:ascii="Times New Roman" w:hAnsi="Times New Roman" w:eastAsia="宋体" w:cs="Times New Roman"/>
      <w:b/>
      <w:bCs/>
      <w:sz w:val="24"/>
      <w:szCs w:val="24"/>
    </w:rPr>
  </w:style>
  <w:style w:type="paragraph" w:customStyle="1" w:styleId="75">
    <w:name w:val="正文 New New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76">
    <w:name w:val="标题 1 New"/>
    <w:basedOn w:val="68"/>
    <w:next w:val="68"/>
    <w:uiPriority w:val="0"/>
    <w:pPr>
      <w:keepNext/>
      <w:jc w:val="center"/>
      <w:outlineLvl w:val="0"/>
    </w:pPr>
    <w:rPr>
      <w:b/>
      <w:bCs/>
      <w:sz w:val="24"/>
    </w:rPr>
  </w:style>
  <w:style w:type="paragraph" w:customStyle="1" w:styleId="77">
    <w:name w:val="正文首行缩进 New New New"/>
    <w:basedOn w:val="33"/>
    <w:uiPriority w:val="0"/>
    <w:pPr>
      <w:tabs>
        <w:tab w:val="clear" w:pos="945"/>
      </w:tabs>
      <w:spacing w:after="120" w:afterLines="0"/>
      <w:ind w:firstLine="420" w:firstLineChars="100"/>
    </w:pPr>
    <w:rPr>
      <w:sz w:val="21"/>
    </w:rPr>
  </w:style>
  <w:style w:type="paragraph" w:customStyle="1" w:styleId="78">
    <w:name w:val="页脚 New New New New New New New New New"/>
    <w:basedOn w:val="2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9">
    <w:name w:val="页脚 New New New New"/>
    <w:basedOn w:val="4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0">
    <w:name w:val="正文首行缩进 New New New New New New"/>
    <w:basedOn w:val="24"/>
    <w:uiPriority w:val="0"/>
    <w:pPr>
      <w:tabs>
        <w:tab w:val="clear" w:pos="945"/>
      </w:tabs>
      <w:spacing w:after="120" w:afterLines="0"/>
      <w:ind w:firstLine="420" w:firstLineChars="100"/>
    </w:pPr>
    <w:rPr>
      <w:sz w:val="21"/>
    </w:rPr>
  </w:style>
  <w:style w:type="paragraph" w:customStyle="1" w:styleId="81">
    <w:name w:val="正文首行缩进 New New New New New New New"/>
    <w:basedOn w:val="57"/>
    <w:uiPriority w:val="0"/>
    <w:pPr>
      <w:tabs>
        <w:tab w:val="clear" w:pos="945"/>
      </w:tabs>
      <w:spacing w:after="120" w:afterLines="0"/>
      <w:ind w:firstLine="420" w:firstLineChars="100"/>
    </w:pPr>
    <w:rPr>
      <w:sz w:val="21"/>
    </w:rPr>
  </w:style>
  <w:style w:type="paragraph" w:customStyle="1" w:styleId="82">
    <w:name w:val="页脚 New"/>
    <w:basedOn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3">
    <w:name w:val="正文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84">
    <w:name w:val="正文首行缩进 New"/>
    <w:basedOn w:val="61"/>
    <w:uiPriority w:val="0"/>
    <w:pPr>
      <w:tabs>
        <w:tab w:val="clear" w:pos="945"/>
      </w:tabs>
      <w:spacing w:after="120" w:afterLines="0"/>
      <w:ind w:firstLine="420" w:firstLineChars="100"/>
    </w:pPr>
    <w:rPr>
      <w:sz w:val="21"/>
    </w:rPr>
  </w:style>
  <w:style w:type="paragraph" w:customStyle="1" w:styleId="85">
    <w:name w:val="页脚 New New New New New New New New"/>
    <w:basedOn w:val="5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6">
    <w:name w:val="表格正文1"/>
    <w:basedOn w:val="44"/>
    <w:uiPriority w:val="0"/>
    <w:pPr>
      <w:spacing w:line="240" w:lineRule="auto"/>
      <w:ind w:firstLine="0" w:firstLineChars="0"/>
    </w:pPr>
  </w:style>
  <w:style w:type="paragraph" w:customStyle="1" w:styleId="87">
    <w:name w:val="页眉 New New New"/>
    <w:basedOn w:val="56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88">
    <w:name w:val="font01"/>
    <w:basedOn w:val="13"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haomei</Company>
  <Pages>3</Pages>
  <Words>573</Words>
  <Characters>641</Characters>
  <Lines>22</Lines>
  <Paragraphs>6</Paragraphs>
  <TotalTime>2</TotalTime>
  <ScaleCrop>false</ScaleCrop>
  <LinksUpToDate>false</LinksUpToDate>
  <CharactersWithSpaces>661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2010-03-20T06:52:00Z</dcterms:created>
  <dc:creator>郭加林</dc:creator>
  <cp:lastModifiedBy>Administrator</cp:lastModifiedBy>
  <cp:lastPrinted>2021-01-16T01:54:00Z</cp:lastPrinted>
  <dcterms:modified xsi:type="dcterms:W3CDTF">2023-04-13T06:14:56Z</dcterms:modified>
  <dc:title>操作规程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AE18349210984989972D556BB61D9884</vt:lpwstr>
  </property>
</Properties>
</file>