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HCCGZB22046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油漆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度油漆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油漆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13925409936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油漆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13925409936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油漆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油漆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油漆</w:t>
      </w:r>
    </w:p>
    <w:tbl>
      <w:tblPr>
        <w:tblStyle w:val="7"/>
        <w:tblW w:w="8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99"/>
        <w:gridCol w:w="4457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4" w:hRule="atLeast"/>
        </w:trPr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产品名称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含税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4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底清、清漆类：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黄底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灰底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罩光清漆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珠光清漆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素色面漆类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白色、米白色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浅灰、灰色、中灰色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深灰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黑色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褐色、红色、土黄色、棕色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二涂鲜艳色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绿、蓝、大红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三涂鲜艳色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绿、蓝、大红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金属色面漆类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5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银色（标准色）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亮银、闪银、银黑色、银灰色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细银色铝灰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砂纹系列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中银色金属漆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深银色铝粉漆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闪银色铝粉漆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三涂银色鲜艳色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鲜艳金属色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云母色面漆类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银色、银白、银灰、闪银（云母系列）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金色、古铜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香槟色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棕色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3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粗云母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鲜艳色面漆类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蓝色、鲜红色、鲜绿色、鲜黄色、蓝银色、橙色、绿银色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油漆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工艺要求并</w:t>
      </w:r>
      <w:r>
        <w:rPr>
          <w:rFonts w:hint="eastAsia" w:ascii="宋体" w:hAnsi="宋体"/>
          <w:sz w:val="28"/>
          <w:szCs w:val="28"/>
        </w:rPr>
        <w:t>产品符合国标准或（企业标准）</w:t>
      </w:r>
      <w:r>
        <w:rPr>
          <w:rFonts w:ascii="宋体" w:hAnsi="宋体"/>
          <w:sz w:val="28"/>
          <w:szCs w:val="28"/>
        </w:rPr>
        <w:t>GB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5237.</w:t>
      </w:r>
      <w:r>
        <w:rPr>
          <w:rFonts w:hint="eastAsia" w:ascii="宋体" w:hAnsi="宋体"/>
          <w:sz w:val="28"/>
          <w:szCs w:val="28"/>
        </w:rPr>
        <w:t>5-2017 《铝合金建筑型材 第5部分:氟碳漆喷涂型材》质量要求质保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年。</w:t>
      </w:r>
      <w:bookmarkStart w:id="3" w:name="_GoBack"/>
      <w:bookmarkEnd w:id="3"/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8B331F"/>
    <w:rsid w:val="193F0610"/>
    <w:rsid w:val="22D54E22"/>
    <w:rsid w:val="39994704"/>
    <w:rsid w:val="3FE00E6B"/>
    <w:rsid w:val="628E4F93"/>
    <w:rsid w:val="71463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uiPriority w:val="0"/>
    <w:rPr>
      <w:sz w:val="16"/>
      <w:szCs w:val="16"/>
    </w:rPr>
  </w:style>
  <w:style w:type="paragraph" w:customStyle="1" w:styleId="10">
    <w:name w:val="List Paragraph1"/>
    <w:basedOn w:val="1"/>
    <w:uiPriority w:val="0"/>
    <w:pPr>
      <w:ind w:firstLine="420" w:firstLineChars="200"/>
    </w:pPr>
  </w:style>
  <w:style w:type="paragraph" w:customStyle="1" w:styleId="11">
    <w:name w:val="No Spacing1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qFormat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uiPriority w:val="0"/>
    <w:rPr>
      <w:sz w:val="18"/>
      <w:szCs w:val="18"/>
    </w:rPr>
  </w:style>
  <w:style w:type="character" w:customStyle="1" w:styleId="19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2016-01-27T14:34:00Z</dcterms:created>
  <dc:creator>Lenovo User</dc:creator>
  <cp:lastModifiedBy>唐素娜</cp:lastModifiedBy>
  <cp:lastPrinted>2016-05-08T14:32:00Z</cp:lastPrinted>
  <dcterms:modified xsi:type="dcterms:W3CDTF">2022-11-01T08:44:38Z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